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Title"/>
      <w:bookmarkEnd w:id="0"/>
      <w:bookmarkStart w:id="1" w:name="DocumentFor"/>
      <w:bookmarkEnd w:id="1"/>
      <w:bookmarkStart w:id="2" w:name="OLE_LINK5"/>
      <w:bookmarkStart w:id="3" w:name="OLE_LINK6"/>
      <w:r>
        <w:rPr>
          <w:rFonts w:ascii="Arial" w:hAnsi="Arial" w:cs="Arial"/>
          <w:b/>
          <w:sz w:val="24"/>
          <w:szCs w:val="24"/>
        </w:rPr>
        <w:t>3GPP TSG-RAN WG4 Meeting #</w:t>
      </w:r>
      <w:r>
        <w:t xml:space="preserve"> </w:t>
      </w:r>
      <w:r>
        <w:rPr>
          <w:rFonts w:hint="eastAsia" w:ascii="Arial" w:hAnsi="Arial" w:eastAsia="宋体" w:cs="Arial"/>
          <w:b/>
          <w:sz w:val="24"/>
          <w:szCs w:val="24"/>
          <w:lang w:val="en-US" w:eastAsia="zh-CN"/>
        </w:rPr>
        <w:t>101-</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R4-211894</w:t>
      </w:r>
      <w:r>
        <w:rPr>
          <w:rFonts w:hint="eastAsia" w:ascii="Arial" w:hAnsi="Arial" w:eastAsia="宋体" w:cs="Times New Roman"/>
          <w:b/>
          <w:bCs/>
          <w:sz w:val="24"/>
          <w:szCs w:val="24"/>
          <w:lang w:val="en-US" w:eastAsia="zh-CN"/>
        </w:rPr>
        <w:t>4</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November 01-12,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On Te requirements for NR systems extended to 71 GHz</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8.16.7.2</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pStyle w:val="36"/>
        <w:numPr>
          <w:ilvl w:val="0"/>
          <w:numId w:val="0"/>
        </w:numPr>
        <w:ind w:leftChars="0"/>
        <w:rPr>
          <w:rFonts w:hint="default"/>
          <w:b w:val="0"/>
          <w:bCs/>
          <w:sz w:val="22"/>
          <w:szCs w:val="22"/>
          <w:lang w:val="en-US" w:eastAsia="zh-CN"/>
        </w:rPr>
      </w:pPr>
      <w:r>
        <w:rPr>
          <w:rFonts w:hint="eastAsia" w:eastAsia="宋体"/>
          <w:b w:val="0"/>
          <w:bCs/>
          <w:sz w:val="22"/>
          <w:szCs w:val="22"/>
          <w:lang w:val="en-US" w:eastAsia="zh-CN"/>
        </w:rPr>
        <w:t>In RAN4 100-e, some</w:t>
      </w:r>
      <w:r>
        <w:rPr>
          <w:rFonts w:hint="eastAsia"/>
          <w:b w:val="0"/>
          <w:bCs/>
          <w:sz w:val="22"/>
          <w:szCs w:val="22"/>
          <w:lang w:val="en-US" w:eastAsia="zh-CN"/>
        </w:rPr>
        <w:t xml:space="preserve"> agreements regarding Te requirements were captured in the WF [1] and some of the content is copied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rPr>
                <w:b/>
                <w:color w:val="0070C0"/>
                <w:u w:val="single"/>
                <w:lang w:eastAsia="ko-KR"/>
              </w:rPr>
            </w:pPr>
            <w:r>
              <w:rPr>
                <w:b/>
                <w:color w:val="0070C0"/>
                <w:u w:val="single"/>
                <w:lang w:eastAsia="ko-KR"/>
              </w:rPr>
              <w:t>Issue 2-1-1: General principles in defining the Te requirements</w:t>
            </w:r>
          </w:p>
          <w:p>
            <w:pPr>
              <w:rPr>
                <w:i/>
                <w:u w:val="single"/>
                <w:lang w:eastAsia="zh-CN"/>
              </w:rPr>
            </w:pPr>
            <w:r>
              <w:rPr>
                <w:i/>
                <w:u w:val="single"/>
                <w:lang w:eastAsia="zh-CN"/>
              </w:rPr>
              <w:t>GTW agreements:</w:t>
            </w:r>
          </w:p>
          <w:p>
            <w:pPr>
              <w:pStyle w:val="26"/>
              <w:numPr>
                <w:ilvl w:val="0"/>
                <w:numId w:val="6"/>
              </w:numPr>
              <w:overflowPunct/>
              <w:autoSpaceDE/>
              <w:autoSpaceDN/>
              <w:adjustRightInd/>
              <w:spacing w:after="120" w:line="252" w:lineRule="auto"/>
              <w:ind w:firstLineChars="0"/>
              <w:textAlignment w:val="auto"/>
              <w:rPr>
                <w:rFonts w:eastAsia="宋体"/>
                <w:iCs/>
                <w:highlight w:val="cyan"/>
                <w:lang w:eastAsia="zh-CN"/>
              </w:rPr>
            </w:pPr>
            <w:r>
              <w:rPr>
                <w:rFonts w:eastAsia="宋体"/>
                <w:iCs/>
                <w:highlight w:val="cyan"/>
                <w:lang w:eastAsia="zh-CN"/>
              </w:rPr>
              <w:t>Further study percentage of UL CP length Te can occupy without impacting UL system performance?</w:t>
            </w:r>
          </w:p>
          <w:p>
            <w:pPr>
              <w:pStyle w:val="26"/>
              <w:numPr>
                <w:ilvl w:val="1"/>
                <w:numId w:val="6"/>
              </w:numPr>
              <w:overflowPunct/>
              <w:autoSpaceDE/>
              <w:autoSpaceDN/>
              <w:adjustRightInd/>
              <w:spacing w:after="120" w:line="252" w:lineRule="auto"/>
              <w:ind w:firstLineChars="0"/>
              <w:textAlignment w:val="auto"/>
              <w:rPr>
                <w:rFonts w:eastAsia="宋体"/>
                <w:iCs/>
                <w:highlight w:val="cyan"/>
                <w:lang w:eastAsia="zh-CN"/>
              </w:rPr>
            </w:pPr>
            <w:r>
              <w:rPr>
                <w:rFonts w:eastAsia="宋体"/>
                <w:iCs/>
                <w:highlight w:val="cyan"/>
                <w:lang w:eastAsia="zh-CN"/>
              </w:rPr>
              <w:t>Option 1: Keep the Te within the same percentage of the CP length as existing SCS</w:t>
            </w:r>
          </w:p>
          <w:p>
            <w:pPr>
              <w:pStyle w:val="26"/>
              <w:numPr>
                <w:ilvl w:val="1"/>
                <w:numId w:val="6"/>
              </w:numPr>
              <w:overflowPunct/>
              <w:autoSpaceDE/>
              <w:autoSpaceDN/>
              <w:adjustRightInd/>
              <w:spacing w:after="120" w:line="252" w:lineRule="auto"/>
              <w:ind w:firstLineChars="0"/>
              <w:textAlignment w:val="auto"/>
              <w:rPr>
                <w:rFonts w:eastAsia="宋体"/>
                <w:iCs/>
                <w:highlight w:val="cyan"/>
                <w:lang w:eastAsia="zh-CN"/>
              </w:rPr>
            </w:pPr>
            <w:r>
              <w:rPr>
                <w:rFonts w:eastAsia="宋体"/>
                <w:iCs/>
                <w:highlight w:val="cyan"/>
                <w:lang w:eastAsia="zh-CN"/>
              </w:rPr>
              <w:t>Option 2: 30%</w:t>
            </w:r>
          </w:p>
          <w:p>
            <w:pPr>
              <w:pStyle w:val="26"/>
              <w:numPr>
                <w:ilvl w:val="1"/>
                <w:numId w:val="6"/>
              </w:numPr>
              <w:overflowPunct/>
              <w:autoSpaceDE/>
              <w:autoSpaceDN/>
              <w:adjustRightInd/>
              <w:spacing w:after="120" w:line="252" w:lineRule="auto"/>
              <w:ind w:firstLineChars="0"/>
              <w:textAlignment w:val="auto"/>
              <w:rPr>
                <w:rFonts w:eastAsia="宋体"/>
                <w:iCs/>
                <w:highlight w:val="cyan"/>
                <w:lang w:eastAsia="zh-CN"/>
              </w:rPr>
            </w:pPr>
            <w:r>
              <w:rPr>
                <w:rFonts w:eastAsia="宋体"/>
                <w:iCs/>
                <w:highlight w:val="cyan"/>
                <w:lang w:eastAsia="zh-CN"/>
              </w:rPr>
              <w:t>Option 3: 50%</w:t>
            </w:r>
          </w:p>
          <w:p>
            <w:pPr>
              <w:pStyle w:val="26"/>
              <w:numPr>
                <w:ilvl w:val="0"/>
                <w:numId w:val="6"/>
              </w:numPr>
              <w:overflowPunct/>
              <w:autoSpaceDE/>
              <w:autoSpaceDN/>
              <w:adjustRightInd/>
              <w:spacing w:after="120" w:line="252" w:lineRule="auto"/>
              <w:ind w:firstLineChars="0"/>
              <w:textAlignment w:val="auto"/>
              <w:rPr>
                <w:rFonts w:hint="eastAsia"/>
                <w:b w:val="0"/>
                <w:bCs/>
                <w:sz w:val="22"/>
                <w:szCs w:val="22"/>
                <w:vertAlign w:val="baseline"/>
                <w:lang w:val="en-US" w:eastAsia="zh-CN"/>
              </w:rPr>
            </w:pPr>
            <w:r>
              <w:rPr>
                <w:rFonts w:eastAsia="宋体"/>
                <w:iCs/>
                <w:highlight w:val="cyan"/>
                <w:lang w:eastAsia="zh-CN"/>
              </w:rPr>
              <w:t>Further study achievable Te from UE perspective</w:t>
            </w:r>
          </w:p>
          <w:p>
            <w:pPr>
              <w:pStyle w:val="26"/>
              <w:numPr>
                <w:ilvl w:val="0"/>
                <w:numId w:val="6"/>
              </w:numPr>
              <w:overflowPunct/>
              <w:autoSpaceDE/>
              <w:autoSpaceDN/>
              <w:adjustRightInd/>
              <w:spacing w:after="120" w:line="252" w:lineRule="auto"/>
              <w:ind w:firstLineChars="0"/>
              <w:textAlignment w:val="auto"/>
              <w:rPr>
                <w:rFonts w:hint="eastAsia"/>
                <w:b w:val="0"/>
                <w:bCs/>
                <w:sz w:val="22"/>
                <w:szCs w:val="22"/>
                <w:vertAlign w:val="baseline"/>
                <w:lang w:val="en-US" w:eastAsia="zh-CN"/>
              </w:rPr>
            </w:pPr>
            <w:r>
              <w:rPr>
                <w:rFonts w:eastAsia="宋体"/>
                <w:iCs/>
                <w:highlight w:val="cyan"/>
                <w:lang w:eastAsia="zh-CN"/>
              </w:rPr>
              <w:t xml:space="preserve">Study different combinations of SSB SCS and UL signal SCS for FR2-2 </w:t>
            </w:r>
          </w:p>
        </w:tc>
      </w:tr>
    </w:tbl>
    <w:p>
      <w:pPr>
        <w:pStyle w:val="36"/>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options lusted above.</w:t>
      </w:r>
    </w:p>
    <w:p>
      <w:pPr>
        <w:pStyle w:val="28"/>
        <w:jc w:val="both"/>
        <w:rPr>
          <w:rFonts w:hint="default" w:eastAsia="宋体"/>
          <w:lang w:val="en-US" w:eastAsia="zh-CN"/>
        </w:rPr>
      </w:pPr>
      <w:r>
        <w:t>2</w:t>
      </w:r>
      <w:r>
        <w:tab/>
      </w:r>
      <w:r>
        <w:rPr>
          <w:rFonts w:hint="eastAsia"/>
          <w:lang w:val="en-US" w:eastAsia="zh-CN"/>
        </w:rPr>
        <w:t>Discussions</w:t>
      </w:r>
    </w:p>
    <w:p>
      <w:pPr>
        <w:rPr>
          <w:rFonts w:hint="eastAsia" w:eastAsia="宋体"/>
          <w:sz w:val="22"/>
          <w:szCs w:val="22"/>
          <w:lang w:val="en-US" w:eastAsia="zh-CN"/>
        </w:rPr>
      </w:pPr>
      <w:r>
        <w:rPr>
          <w:rFonts w:hint="eastAsia" w:eastAsia="宋体"/>
          <w:sz w:val="22"/>
          <w:szCs w:val="22"/>
          <w:lang w:val="en-US" w:eastAsia="zh-CN"/>
        </w:rPr>
        <w:t>In general, we think that Te requirement is critical to maintain UL transmissions and it ensures the overall performance of not only one UE, but potentially the network and also other UEs. Current Te requirements are derived based on SCS and CP length, and we see it reasonable to re-use the current percentage and formulation.</w:t>
      </w:r>
    </w:p>
    <w:p>
      <w:pPr>
        <w:pStyle w:val="36"/>
        <w:rPr>
          <w:rFonts w:hint="eastAsia" w:eastAsia="宋体"/>
          <w:sz w:val="22"/>
          <w:szCs w:val="22"/>
          <w:lang w:val="en-US" w:eastAsia="zh-CN"/>
        </w:rPr>
      </w:pPr>
      <w:r>
        <w:rPr>
          <w:rFonts w:hint="eastAsia" w:eastAsia="宋体"/>
          <w:sz w:val="22"/>
          <w:szCs w:val="22"/>
          <w:lang w:val="en-US" w:eastAsia="zh-CN"/>
        </w:rPr>
        <w:t>Keep the Te within the same percentage of the CP length as existing SCS.</w:t>
      </w:r>
    </w:p>
    <w:p>
      <w:pPr>
        <w:rPr>
          <w:rFonts w:hint="eastAsia"/>
          <w:lang w:val="en-US" w:eastAsia="zh-CN"/>
        </w:rPr>
      </w:pPr>
    </w:p>
    <w:p>
      <w:pPr>
        <w:rPr>
          <w:rFonts w:hint="default" w:eastAsia="宋体"/>
          <w:sz w:val="22"/>
          <w:szCs w:val="22"/>
          <w:lang w:val="en-US" w:eastAsia="zh-CN"/>
        </w:rPr>
      </w:pPr>
      <w:r>
        <w:rPr>
          <w:rFonts w:hint="eastAsia" w:eastAsia="宋体"/>
          <w:sz w:val="22"/>
          <w:szCs w:val="22"/>
          <w:lang w:val="en-US" w:eastAsia="zh-CN"/>
        </w:rPr>
        <w:t>However, as pointed out by some companies, there might be technical challenges such that a part of Te is not proportional to SCS and thus cannot be decreased automatically as SCS increases. Since current Te requirements indicate a percentage of UL CP of around 20%, it is also reasonable to relax to 30% depending on UE implementations.</w:t>
      </w:r>
    </w:p>
    <w:p>
      <w:pPr>
        <w:pStyle w:val="36"/>
        <w:rPr>
          <w:rFonts w:hint="default" w:eastAsia="宋体"/>
          <w:sz w:val="22"/>
          <w:szCs w:val="22"/>
          <w:lang w:val="en-US" w:eastAsia="zh-CN"/>
        </w:rPr>
      </w:pPr>
      <w:r>
        <w:rPr>
          <w:rFonts w:hint="eastAsia" w:eastAsia="宋体"/>
          <w:sz w:val="22"/>
          <w:szCs w:val="22"/>
          <w:lang w:val="en-US" w:eastAsia="zh-CN"/>
        </w:rPr>
        <w:t>Te can occupy 30% of UL CP length if UE implementations are proven to be impossible to keep current Te requirements.</w:t>
      </w:r>
    </w:p>
    <w:p>
      <w:pPr>
        <w:pStyle w:val="28"/>
        <w:jc w:val="both"/>
      </w:pPr>
      <w:r>
        <w:rPr>
          <w:rFonts w:hint="eastAsia"/>
          <w:lang w:val="en-US" w:eastAsia="zh-CN"/>
        </w:rPr>
        <w:t>3</w:t>
      </w:r>
      <w:r>
        <w:tab/>
      </w:r>
      <w:r>
        <w:t>Conclusion</w:t>
      </w:r>
    </w:p>
    <w:p>
      <w:pPr>
        <w:pStyle w:val="36"/>
        <w:numPr>
          <w:ilvl w:val="0"/>
          <w:numId w:val="0"/>
        </w:numPr>
        <w:ind w:leftChars="0"/>
        <w:rPr>
          <w:rFonts w:hint="eastAsia" w:eastAsia="宋体"/>
          <w:sz w:val="22"/>
          <w:szCs w:val="22"/>
          <w:lang w:val="en-US" w:eastAsia="zh-CN"/>
        </w:rPr>
      </w:pPr>
      <w:r>
        <w:rPr>
          <w:rFonts w:hint="eastAsia"/>
          <w:b/>
          <w:bCs w:val="0"/>
          <w:sz w:val="22"/>
          <w:szCs w:val="22"/>
          <w:lang w:val="en-US" w:eastAsia="zh-CN"/>
        </w:rPr>
        <w:t xml:space="preserve">Proposal 1: </w:t>
      </w:r>
      <w:r>
        <w:rPr>
          <w:rFonts w:hint="eastAsia" w:eastAsia="宋体"/>
          <w:sz w:val="22"/>
          <w:szCs w:val="22"/>
          <w:lang w:val="en-US" w:eastAsia="zh-CN"/>
        </w:rPr>
        <w:t>Keep the Te within the same percentage of the CP length as existing SCS.</w:t>
      </w:r>
    </w:p>
    <w:p>
      <w:pPr>
        <w:pStyle w:val="36"/>
        <w:numPr>
          <w:ilvl w:val="0"/>
          <w:numId w:val="0"/>
        </w:numPr>
        <w:ind w:leftChars="0"/>
        <w:rPr>
          <w:rFonts w:hint="eastAsia" w:eastAsia="宋体"/>
          <w:sz w:val="22"/>
          <w:szCs w:val="22"/>
          <w:lang w:val="en-US" w:eastAsia="zh-CN"/>
        </w:rPr>
      </w:pPr>
      <w:r>
        <w:rPr>
          <w:rFonts w:hint="eastAsia"/>
          <w:b/>
          <w:bCs w:val="0"/>
          <w:sz w:val="22"/>
          <w:szCs w:val="22"/>
          <w:lang w:val="en-US" w:eastAsia="zh-CN"/>
        </w:rPr>
        <w:t xml:space="preserve">Proposal 2: </w:t>
      </w:r>
      <w:r>
        <w:rPr>
          <w:rFonts w:hint="eastAsia" w:eastAsia="宋体"/>
          <w:sz w:val="22"/>
          <w:szCs w:val="22"/>
          <w:lang w:val="en-US" w:eastAsia="zh-CN"/>
        </w:rPr>
        <w:t>Te can occupy 30% of UL CP length if UE implementations are proven to be impossible to keep current Te requirements.</w:t>
      </w:r>
    </w:p>
    <w:p>
      <w:pPr>
        <w:pStyle w:val="28"/>
        <w:jc w:val="both"/>
      </w:pPr>
      <w:r>
        <w:t>References</w:t>
      </w:r>
    </w:p>
    <w:p>
      <w:pPr>
        <w:numPr>
          <w:ilvl w:val="0"/>
          <w:numId w:val="7"/>
        </w:numPr>
        <w:overflowPunct w:val="0"/>
        <w:autoSpaceDE w:val="0"/>
        <w:autoSpaceDN w:val="0"/>
        <w:adjustRightInd w:val="0"/>
        <w:spacing w:after="120" w:line="240" w:lineRule="auto"/>
        <w:jc w:val="both"/>
        <w:textAlignment w:val="baseline"/>
        <w:rPr>
          <w:rFonts w:hint="default" w:eastAsia="宋体"/>
          <w:sz w:val="22"/>
          <w:szCs w:val="22"/>
          <w:lang w:val="en-US" w:eastAsia="zh-CN"/>
        </w:rPr>
      </w:pPr>
      <w:r>
        <w:rPr>
          <w:rFonts w:hint="eastAsia" w:eastAsia="宋体"/>
          <w:sz w:val="22"/>
          <w:szCs w:val="22"/>
          <w:lang w:val="en-US" w:eastAsia="zh-CN"/>
        </w:rPr>
        <w:t>R4-2115351</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1532541B"/>
    <w:multiLevelType w:val="multilevel"/>
    <w:tmpl w:val="1532541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2"/>
  </w:num>
  <w:num w:numId="2">
    <w:abstractNumId w:val="4"/>
  </w:num>
  <w:num w:numId="3">
    <w:abstractNumId w:val="3"/>
  </w:num>
  <w:num w:numId="4">
    <w:abstractNumId w:val="6"/>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867938"/>
    <w:rsid w:val="02B274E2"/>
    <w:rsid w:val="02BD7990"/>
    <w:rsid w:val="02C25D33"/>
    <w:rsid w:val="02D477EA"/>
    <w:rsid w:val="030809EC"/>
    <w:rsid w:val="037A379D"/>
    <w:rsid w:val="039A1BDA"/>
    <w:rsid w:val="03AE4991"/>
    <w:rsid w:val="03C6506D"/>
    <w:rsid w:val="03F37217"/>
    <w:rsid w:val="046B1F2F"/>
    <w:rsid w:val="04C77D0A"/>
    <w:rsid w:val="04D5204C"/>
    <w:rsid w:val="051F0641"/>
    <w:rsid w:val="059B61E4"/>
    <w:rsid w:val="05A86143"/>
    <w:rsid w:val="05D42FA6"/>
    <w:rsid w:val="06105DAC"/>
    <w:rsid w:val="066957D5"/>
    <w:rsid w:val="068A29F7"/>
    <w:rsid w:val="069766CC"/>
    <w:rsid w:val="07432934"/>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A1653"/>
    <w:rsid w:val="0C3C5307"/>
    <w:rsid w:val="0C3E160C"/>
    <w:rsid w:val="0C56263C"/>
    <w:rsid w:val="0C5E2B8A"/>
    <w:rsid w:val="0D102274"/>
    <w:rsid w:val="0D7C260E"/>
    <w:rsid w:val="0DA958CA"/>
    <w:rsid w:val="0DF104D3"/>
    <w:rsid w:val="0E1C586B"/>
    <w:rsid w:val="0E2D1B5C"/>
    <w:rsid w:val="0E8A024B"/>
    <w:rsid w:val="0ED138E6"/>
    <w:rsid w:val="0F130B06"/>
    <w:rsid w:val="0F67780F"/>
    <w:rsid w:val="0F8F3C2A"/>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204013C"/>
    <w:rsid w:val="122017FC"/>
    <w:rsid w:val="12753179"/>
    <w:rsid w:val="128409CA"/>
    <w:rsid w:val="12BB3A94"/>
    <w:rsid w:val="12EF585C"/>
    <w:rsid w:val="13262572"/>
    <w:rsid w:val="136D11EC"/>
    <w:rsid w:val="137D50D6"/>
    <w:rsid w:val="139B3B65"/>
    <w:rsid w:val="13A62830"/>
    <w:rsid w:val="13D36053"/>
    <w:rsid w:val="13ED648B"/>
    <w:rsid w:val="13F75352"/>
    <w:rsid w:val="141E7377"/>
    <w:rsid w:val="14220722"/>
    <w:rsid w:val="14631685"/>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407C50"/>
    <w:rsid w:val="184C276D"/>
    <w:rsid w:val="1872258F"/>
    <w:rsid w:val="18D3414F"/>
    <w:rsid w:val="18D91924"/>
    <w:rsid w:val="194132DA"/>
    <w:rsid w:val="19566969"/>
    <w:rsid w:val="195A003F"/>
    <w:rsid w:val="19831412"/>
    <w:rsid w:val="199B5421"/>
    <w:rsid w:val="19A96435"/>
    <w:rsid w:val="19E43A3D"/>
    <w:rsid w:val="1A0B3A21"/>
    <w:rsid w:val="1A352FE3"/>
    <w:rsid w:val="1B3329B5"/>
    <w:rsid w:val="1B595D85"/>
    <w:rsid w:val="1B7F155B"/>
    <w:rsid w:val="1BAE2A00"/>
    <w:rsid w:val="1C1D2A9E"/>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1C53C0"/>
    <w:rsid w:val="23514077"/>
    <w:rsid w:val="23855295"/>
    <w:rsid w:val="23B20773"/>
    <w:rsid w:val="23CF6D67"/>
    <w:rsid w:val="23FF1EED"/>
    <w:rsid w:val="248F188B"/>
    <w:rsid w:val="24BD0518"/>
    <w:rsid w:val="24E91488"/>
    <w:rsid w:val="25077EC5"/>
    <w:rsid w:val="256A021C"/>
    <w:rsid w:val="25962669"/>
    <w:rsid w:val="259B6819"/>
    <w:rsid w:val="25C20278"/>
    <w:rsid w:val="25C545AD"/>
    <w:rsid w:val="262D62D9"/>
    <w:rsid w:val="26681CAB"/>
    <w:rsid w:val="267E5FCE"/>
    <w:rsid w:val="27572E0B"/>
    <w:rsid w:val="2762235C"/>
    <w:rsid w:val="276537E8"/>
    <w:rsid w:val="27A34066"/>
    <w:rsid w:val="280C272A"/>
    <w:rsid w:val="281B6C69"/>
    <w:rsid w:val="284E33F7"/>
    <w:rsid w:val="287A3770"/>
    <w:rsid w:val="28C759BF"/>
    <w:rsid w:val="290A138C"/>
    <w:rsid w:val="29116F17"/>
    <w:rsid w:val="293606FA"/>
    <w:rsid w:val="29517179"/>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EE6B8D"/>
    <w:rsid w:val="2D233DAE"/>
    <w:rsid w:val="2D8E403A"/>
    <w:rsid w:val="2DF9626C"/>
    <w:rsid w:val="2E145F76"/>
    <w:rsid w:val="2EA86D09"/>
    <w:rsid w:val="2ECE747D"/>
    <w:rsid w:val="2F32226B"/>
    <w:rsid w:val="2F376D10"/>
    <w:rsid w:val="2FA231C5"/>
    <w:rsid w:val="306B321F"/>
    <w:rsid w:val="308B65F2"/>
    <w:rsid w:val="30A9337F"/>
    <w:rsid w:val="30F5782F"/>
    <w:rsid w:val="3117229F"/>
    <w:rsid w:val="31395268"/>
    <w:rsid w:val="316D08AD"/>
    <w:rsid w:val="31960AEF"/>
    <w:rsid w:val="31A50177"/>
    <w:rsid w:val="31DD775A"/>
    <w:rsid w:val="31ED10C9"/>
    <w:rsid w:val="32015FCC"/>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F42A3D"/>
    <w:rsid w:val="3509315E"/>
    <w:rsid w:val="351A4CC6"/>
    <w:rsid w:val="3609585B"/>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9BA7AB8"/>
    <w:rsid w:val="3A0F1960"/>
    <w:rsid w:val="3A166029"/>
    <w:rsid w:val="3A6B6F88"/>
    <w:rsid w:val="3AAF0AEF"/>
    <w:rsid w:val="3AC125B3"/>
    <w:rsid w:val="3AF216E5"/>
    <w:rsid w:val="3B0B15C3"/>
    <w:rsid w:val="3B0F491B"/>
    <w:rsid w:val="3B164016"/>
    <w:rsid w:val="3B30671A"/>
    <w:rsid w:val="3B5662AC"/>
    <w:rsid w:val="3B981241"/>
    <w:rsid w:val="3B9F08A7"/>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5E37291"/>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682125"/>
    <w:rsid w:val="4C723787"/>
    <w:rsid w:val="4C783FE1"/>
    <w:rsid w:val="4CF05EAC"/>
    <w:rsid w:val="4D102CB4"/>
    <w:rsid w:val="4D9E609E"/>
    <w:rsid w:val="4E0243C8"/>
    <w:rsid w:val="4E345636"/>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05665"/>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77E3F1D"/>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5FA5608D"/>
    <w:rsid w:val="60017F85"/>
    <w:rsid w:val="60032276"/>
    <w:rsid w:val="6045086B"/>
    <w:rsid w:val="60745B63"/>
    <w:rsid w:val="60AC01F6"/>
    <w:rsid w:val="60F64A32"/>
    <w:rsid w:val="61051332"/>
    <w:rsid w:val="62812953"/>
    <w:rsid w:val="62821806"/>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6197BB5"/>
    <w:rsid w:val="66AB371C"/>
    <w:rsid w:val="66AE1192"/>
    <w:rsid w:val="66CA69C3"/>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C42065A"/>
    <w:rsid w:val="6C6F44FD"/>
    <w:rsid w:val="6C9E7796"/>
    <w:rsid w:val="6CB759F8"/>
    <w:rsid w:val="6CD4731D"/>
    <w:rsid w:val="6D121910"/>
    <w:rsid w:val="6D3205F0"/>
    <w:rsid w:val="6D4C048E"/>
    <w:rsid w:val="6D862B60"/>
    <w:rsid w:val="6DB702B4"/>
    <w:rsid w:val="6E4462CC"/>
    <w:rsid w:val="6E504618"/>
    <w:rsid w:val="6EB20078"/>
    <w:rsid w:val="6EFB363D"/>
    <w:rsid w:val="6F1028C5"/>
    <w:rsid w:val="6F3608C4"/>
    <w:rsid w:val="6F5579D7"/>
    <w:rsid w:val="6F801AF8"/>
    <w:rsid w:val="6F8D5AAE"/>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892276"/>
    <w:rsid w:val="72D71CC1"/>
    <w:rsid w:val="72EE3608"/>
    <w:rsid w:val="72F37E30"/>
    <w:rsid w:val="72FB5D9F"/>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D53B99"/>
    <w:rsid w:val="754C1AAF"/>
    <w:rsid w:val="762B3711"/>
    <w:rsid w:val="76696B17"/>
    <w:rsid w:val="76696D01"/>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93758F2"/>
    <w:rsid w:val="79C0590F"/>
    <w:rsid w:val="7A080BBF"/>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A7A29"/>
    <w:rsid w:val="7DA0035E"/>
    <w:rsid w:val="7DC16877"/>
    <w:rsid w:val="7DCC5A45"/>
    <w:rsid w:val="7E630B4F"/>
    <w:rsid w:val="7E7F1DC3"/>
    <w:rsid w:val="7E7F4EA4"/>
    <w:rsid w:val="7E8B6D0C"/>
    <w:rsid w:val="7F285EA4"/>
    <w:rsid w:val="7F787EDB"/>
    <w:rsid w:val="7F9952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7">
    <w:name w:val="annotation text"/>
    <w:basedOn w:val="1"/>
    <w:link w:val="58"/>
    <w:semiHidden/>
    <w:unhideWhenUsed/>
    <w:qFormat/>
    <w:uiPriority w:val="99"/>
    <w:pPr>
      <w:spacing w:line="240" w:lineRule="auto"/>
    </w:pPr>
    <w:rPr>
      <w:szCs w:val="20"/>
    </w:rPr>
  </w:style>
  <w:style w:type="paragraph" w:styleId="8">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5"/>
    <w:semiHidden/>
    <w:unhideWhenUsed/>
    <w:qFormat/>
    <w:uiPriority w:val="99"/>
    <w:pPr>
      <w:spacing w:after="0" w:line="240" w:lineRule="auto"/>
    </w:pPr>
    <w:rPr>
      <w:rFonts w:ascii="Segoe UI" w:hAnsi="Segoe UI" w:cs="Segoe UI"/>
      <w:sz w:val="18"/>
      <w:szCs w:val="18"/>
    </w:rPr>
  </w:style>
  <w:style w:type="paragraph" w:styleId="12">
    <w:name w:val="header"/>
    <w:basedOn w:val="1"/>
    <w:link w:val="53"/>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7">
    <w:name w:val="annotation subject"/>
    <w:basedOn w:val="7"/>
    <w:next w:val="7"/>
    <w:link w:val="59"/>
    <w:semiHidden/>
    <w:unhideWhenUsed/>
    <w:qFormat/>
    <w:uiPriority w:val="99"/>
    <w:rPr>
      <w:b/>
      <w:bCs/>
    </w:rPr>
  </w:style>
  <w:style w:type="table" w:styleId="19">
    <w:name w:val="Table Grid"/>
    <w:basedOn w:val="18"/>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99"/>
    <w:rPr>
      <w:sz w:val="16"/>
      <w:szCs w:val="16"/>
    </w:rPr>
  </w:style>
  <w:style w:type="character" w:customStyle="1" w:styleId="24">
    <w:name w:val="Heading 2 Char"/>
    <w:basedOn w:val="20"/>
    <w:link w:val="3"/>
    <w:qFormat/>
    <w:uiPriority w:val="0"/>
    <w:rPr>
      <w:rFonts w:ascii="Arial" w:hAnsi="Arial" w:eastAsia="Times New Roman" w:cs="Times New Roman"/>
      <w:sz w:val="32"/>
      <w:szCs w:val="20"/>
      <w:lang w:val="en-GB"/>
    </w:rPr>
  </w:style>
  <w:style w:type="character" w:customStyle="1" w:styleId="25">
    <w:name w:val="Heading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20"/>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List Paragraph Char"/>
    <w:basedOn w:val="20"/>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6"/>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Heading"/>
    <w:basedOn w:val="2"/>
    <w:next w:val="1"/>
    <w:unhideWhenUsed/>
    <w:qFormat/>
    <w:uiPriority w:val="39"/>
    <w:pPr>
      <w:outlineLvl w:val="9"/>
    </w:pPr>
  </w:style>
  <w:style w:type="character" w:customStyle="1" w:styleId="38">
    <w:name w:val="Caption Char"/>
    <w:basedOn w:val="20"/>
    <w:link w:val="6"/>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Unresolved Mention"/>
    <w:basedOn w:val="20"/>
    <w:semiHidden/>
    <w:unhideWhenUsed/>
    <w:qFormat/>
    <w:uiPriority w:val="99"/>
    <w:rPr>
      <w:color w:val="808080"/>
      <w:shd w:val="clear" w:color="auto" w:fill="E6E6E6"/>
    </w:rPr>
  </w:style>
  <w:style w:type="character" w:customStyle="1" w:styleId="43">
    <w:name w:val="Heading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Body Text Char"/>
    <w:basedOn w:val="20"/>
    <w:link w:val="8"/>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Header Char"/>
    <w:basedOn w:val="20"/>
    <w:link w:val="12"/>
    <w:semiHidden/>
    <w:qFormat/>
    <w:locked/>
    <w:uiPriority w:val="0"/>
    <w:rPr>
      <w:rFonts w:ascii="Tms Rmn" w:hAnsi="Tms Rmn"/>
      <w:b/>
      <w:sz w:val="18"/>
    </w:rPr>
  </w:style>
  <w:style w:type="character" w:customStyle="1" w:styleId="54">
    <w:name w:val="Header Char1"/>
    <w:basedOn w:val="20"/>
    <w:semiHidden/>
    <w:qFormat/>
    <w:uiPriority w:val="99"/>
    <w:rPr>
      <w:rFonts w:ascii="Times New Roman" w:hAnsi="Times New Roman"/>
      <w:sz w:val="20"/>
    </w:rPr>
  </w:style>
  <w:style w:type="character" w:customStyle="1" w:styleId="55">
    <w:name w:val="Balloon Text Char"/>
    <w:basedOn w:val="20"/>
    <w:link w:val="11"/>
    <w:semiHidden/>
    <w:qFormat/>
    <w:uiPriority w:val="99"/>
    <w:rPr>
      <w:rFonts w:ascii="Segoe UI" w:hAnsi="Segoe UI" w:cs="Segoe UI"/>
      <w:sz w:val="18"/>
      <w:szCs w:val="18"/>
    </w:rPr>
  </w:style>
  <w:style w:type="character" w:customStyle="1" w:styleId="56">
    <w:name w:val="CR Cover Page Zchn"/>
    <w:link w:val="57"/>
    <w:qFormat/>
    <w:locked/>
    <w:uiPriority w:val="0"/>
    <w:rPr>
      <w:rFonts w:ascii="Arial" w:hAnsi="Arial" w:cs="Arial"/>
      <w:lang w:val="en-GB"/>
    </w:rPr>
  </w:style>
  <w:style w:type="paragraph" w:customStyle="1" w:styleId="57">
    <w:name w:val="CR Cover Page"/>
    <w:link w:val="56"/>
    <w:qFormat/>
    <w:uiPriority w:val="0"/>
    <w:pPr>
      <w:spacing w:after="120" w:line="240" w:lineRule="auto"/>
    </w:pPr>
    <w:rPr>
      <w:rFonts w:ascii="Arial" w:hAnsi="Arial" w:cs="Arial" w:eastAsiaTheme="minorHAnsi"/>
      <w:sz w:val="22"/>
      <w:szCs w:val="22"/>
      <w:lang w:val="en-GB" w:eastAsia="en-US" w:bidi="ar-SA"/>
    </w:rPr>
  </w:style>
  <w:style w:type="character" w:customStyle="1" w:styleId="58">
    <w:name w:val="Comment Text Char"/>
    <w:basedOn w:val="20"/>
    <w:link w:val="7"/>
    <w:semiHidden/>
    <w:qFormat/>
    <w:uiPriority w:val="99"/>
    <w:rPr>
      <w:rFonts w:ascii="Times New Roman" w:hAnsi="Times New Roman"/>
      <w:sz w:val="20"/>
      <w:szCs w:val="20"/>
    </w:rPr>
  </w:style>
  <w:style w:type="character" w:customStyle="1" w:styleId="59">
    <w:name w:val="Comment Subject Char"/>
    <w:basedOn w:val="58"/>
    <w:link w:val="17"/>
    <w:semiHidden/>
    <w:qFormat/>
    <w:uiPriority w:val="99"/>
    <w:rPr>
      <w:rFonts w:ascii="Times New Roman" w:hAnsi="Times New Roman"/>
      <w:b/>
      <w:bCs/>
      <w:sz w:val="20"/>
      <w:szCs w:val="20"/>
    </w:rPr>
  </w:style>
  <w:style w:type="paragraph" w:customStyle="1" w:styleId="60">
    <w:name w:val="3GPP Normal Text"/>
    <w:basedOn w:val="8"/>
    <w:link w:val="61"/>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1">
    <w:name w:val="3GPP Normal Text Char"/>
    <w:link w:val="60"/>
    <w:qFormat/>
    <w:uiPriority w:val="0"/>
    <w:rPr>
      <w:rFonts w:ascii="Times New Roman" w:hAnsi="Times New Roman" w:eastAsia="MS Mincho" w:cs="Arial"/>
      <w:sz w:val="20"/>
      <w:szCs w:val="24"/>
    </w:rPr>
  </w:style>
  <w:style w:type="paragraph" w:customStyle="1" w:styleId="62">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3">
    <w:name w:val="TH"/>
    <w:basedOn w:val="1"/>
    <w:qFormat/>
    <w:uiPriority w:val="0"/>
    <w:pPr>
      <w:keepNext/>
      <w:keepLines/>
      <w:spacing w:before="60"/>
      <w:jc w:val="center"/>
    </w:pPr>
    <w:rPr>
      <w:rFonts w:ascii="Arial" w:hAnsi="Arial"/>
      <w:b/>
      <w:lang w:eastAsia="zh-CN"/>
    </w:rPr>
  </w:style>
  <w:style w:type="paragraph" w:customStyle="1" w:styleId="64">
    <w:name w:val="NO"/>
    <w:basedOn w:val="1"/>
    <w:qFormat/>
    <w:uiPriority w:val="0"/>
    <w:pPr>
      <w:keepLines/>
      <w:ind w:left="1135" w:hanging="851"/>
    </w:pPr>
    <w:rPr>
      <w:lang w:eastAsia="zh-CN"/>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A4E9F1-3478-4E48-ACB7-A0EA7CF8F594}">
  <ds:schemaRefs/>
</ds:datastoreItem>
</file>

<file path=customXml/itemProps3.xml><?xml version="1.0" encoding="utf-8"?>
<ds:datastoreItem xmlns:ds="http://schemas.openxmlformats.org/officeDocument/2006/customXml" ds:itemID="{DDD117E1-8C1C-466A-8D7F-EAF64C1488C0}">
  <ds:schemaRefs/>
</ds:datastoreItem>
</file>

<file path=customXml/itemProps4.xml><?xml version="1.0" encoding="utf-8"?>
<ds:datastoreItem xmlns:ds="http://schemas.openxmlformats.org/officeDocument/2006/customXml" ds:itemID="{E8E32C24-5F96-4713-A70F-A7BA20BB6CD6}">
  <ds:schemaRefs/>
</ds:datastoreItem>
</file>

<file path=customXml/itemProps5.xml><?xml version="1.0" encoding="utf-8"?>
<ds:datastoreItem xmlns:ds="http://schemas.openxmlformats.org/officeDocument/2006/customXml" ds:itemID="{E173285D-2887-45E3-A024-3D1E71CC8E74}">
  <ds:schemaRefs/>
</ds:datastoreItem>
</file>

<file path=customXml/itemProps6.xml><?xml version="1.0" encoding="utf-8"?>
<ds:datastoreItem xmlns:ds="http://schemas.openxmlformats.org/officeDocument/2006/customXml" ds:itemID="{9B5B53C8-48A5-44AD-B897-E90CB0B8E3EC}">
  <ds:schemaRefs/>
</ds:datastoreItem>
</file>

<file path=customXml/itemProps7.xml><?xml version="1.0" encoding="utf-8"?>
<ds:datastoreItem xmlns:ds="http://schemas.openxmlformats.org/officeDocument/2006/customXml" ds:itemID="{08DA32A5-C37F-4DB0-94C0-5301A1F35695}">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2021-10-22T13:13:38Z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